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14" w:rsidRDefault="00946218">
      <w:pPr>
        <w:spacing w:line="360" w:lineRule="auto"/>
        <w:jc w:val="center"/>
        <w:rPr>
          <w:rFonts w:ascii="宋体" w:hAnsi="宋体" w:cs="宋体"/>
          <w:sz w:val="30"/>
          <w:szCs w:val="30"/>
        </w:rPr>
      </w:pPr>
      <w:r>
        <w:rPr>
          <w:rFonts w:ascii="宋体" w:hAnsi="宋体" w:cs="宋体" w:hint="eastAsia"/>
          <w:sz w:val="30"/>
          <w:szCs w:val="30"/>
        </w:rPr>
        <w:t>航天氢能（上海）科技有限公司</w:t>
      </w:r>
    </w:p>
    <w:p w:rsidR="00307514" w:rsidRDefault="00307514">
      <w:pPr>
        <w:spacing w:line="360" w:lineRule="auto"/>
        <w:jc w:val="center"/>
        <w:rPr>
          <w:rFonts w:ascii="宋体" w:hAnsi="宋体" w:cs="宋体"/>
          <w:sz w:val="30"/>
          <w:szCs w:val="30"/>
        </w:rPr>
      </w:pPr>
    </w:p>
    <w:p w:rsidR="00307514" w:rsidRDefault="00946218">
      <w:pPr>
        <w:spacing w:line="360" w:lineRule="auto"/>
        <w:rPr>
          <w:rFonts w:ascii="宋体" w:hAnsi="宋体" w:cs="宋体"/>
          <w:sz w:val="24"/>
        </w:rPr>
      </w:pPr>
      <w:r>
        <w:rPr>
          <w:rFonts w:ascii="微软雅黑" w:eastAsia="微软雅黑" w:hAnsi="微软雅黑" w:hint="eastAsia"/>
          <w:sz w:val="24"/>
        </w:rPr>
        <w:tab/>
      </w:r>
      <w:r>
        <w:rPr>
          <w:rFonts w:ascii="宋体" w:hAnsi="宋体" w:cs="宋体" w:hint="eastAsia"/>
          <w:sz w:val="24"/>
        </w:rPr>
        <w:t>航天氢能（上海）科技有限公司（简称航天氢能）是燃料电池产品和服务供应商，致力于推动燃料电池技术和氢能产业发展。航天氢能是上海空间电源研究所基于六十年航天电源工程经验和二十年燃料电池技术积淀，联合中车城交、重塑科技战略合作发起成立。航天氢能肩负“军民融合、产业报国”使命，秉承“创新驱动、合作共赢”理念，发扬“自信自强、无私无畏、敢想敢为、尽善尽美”精神，致力于打造“航天品质、上海制造”中国一流</w:t>
      </w:r>
      <w:bookmarkStart w:id="0" w:name="_GoBack"/>
      <w:bookmarkEnd w:id="0"/>
      <w:r>
        <w:rPr>
          <w:rFonts w:ascii="宋体" w:hAnsi="宋体" w:cs="宋体" w:hint="eastAsia"/>
          <w:sz w:val="24"/>
        </w:rPr>
        <w:t>燃料电池品牌。</w:t>
      </w:r>
    </w:p>
    <w:p w:rsidR="00307514" w:rsidRDefault="00946218" w:rsidP="00775070">
      <w:pPr>
        <w:spacing w:beforeLines="50" w:afterLines="50" w:line="360" w:lineRule="auto"/>
        <w:rPr>
          <w:rFonts w:ascii="宋体" w:hAnsi="宋体" w:cs="宋体"/>
          <w:sz w:val="24"/>
        </w:rPr>
      </w:pPr>
      <w:r>
        <w:rPr>
          <w:rFonts w:ascii="微软雅黑" w:eastAsia="微软雅黑" w:hAnsi="微软雅黑" w:hint="eastAsia"/>
          <w:sz w:val="24"/>
        </w:rPr>
        <w:tab/>
      </w:r>
      <w:r>
        <w:rPr>
          <w:rFonts w:ascii="宋体" w:hAnsi="宋体" w:cs="宋体" w:hint="eastAsia"/>
          <w:sz w:val="24"/>
        </w:rPr>
        <w:t>航天氢能掌握自主知识产权燃料电池电堆及金属双极板、膜电极组件等关键技术，获专利授权22项，其中发明专利17项。现有HTLMⅠ系列燃料电池电堆产品，功率等级涵盖10kW～1</w:t>
      </w:r>
      <w:r>
        <w:rPr>
          <w:rFonts w:ascii="宋体" w:hAnsi="宋体" w:cs="宋体"/>
          <w:sz w:val="24"/>
        </w:rPr>
        <w:t>5</w:t>
      </w:r>
      <w:r>
        <w:rPr>
          <w:rFonts w:ascii="宋体" w:hAnsi="宋体" w:cs="宋体" w:hint="eastAsia"/>
          <w:sz w:val="24"/>
        </w:rPr>
        <w:t>0kW，比功率超过3100W/L，满足5年（20万公里）、-40℃低温环境存储使用要求；HTEPⅠ系列燃料电池系统产品，通过国家机动车检测中心第三强制性检验和中央军委装备发展部“燃料电池系统军事应用解决方案”全国比武测试，性能领先，国产化率高，可在-30℃低温环境启动，已成功应用于大巴车、物流车、集卡及港口装备等市场领域。</w:t>
      </w:r>
    </w:p>
    <w:p w:rsidR="00307514" w:rsidRDefault="00946218">
      <w:pPr>
        <w:autoSpaceDE w:val="0"/>
        <w:autoSpaceDN w:val="0"/>
        <w:spacing w:line="360" w:lineRule="auto"/>
        <w:ind w:firstLineChars="200" w:firstLine="480"/>
        <w:rPr>
          <w:rFonts w:ascii="宋体" w:hAnsi="宋体" w:cs="宋体"/>
          <w:sz w:val="24"/>
        </w:rPr>
      </w:pPr>
      <w:r>
        <w:rPr>
          <w:rFonts w:ascii="微软雅黑" w:eastAsia="微软雅黑" w:hAnsi="微软雅黑" w:hint="eastAsia"/>
          <w:sz w:val="24"/>
        </w:rPr>
        <w:tab/>
      </w:r>
      <w:r>
        <w:rPr>
          <w:rFonts w:ascii="宋体" w:hAnsi="宋体" w:cs="宋体" w:hint="eastAsia"/>
          <w:sz w:val="24"/>
        </w:rPr>
        <w:t>航天氢能位于上海紫竹高新技术产业开发区（紫月路880号），建有年产能50MW金属双极板燃料电池产品生产线，膜电极、双极板、电堆、系统等核心生产装备基于自主工艺技术国产化定制开发，打通金属双极板燃料电池产品自动批量化制造瓶颈，具备工艺快速验证、产品柔性生产、质量在线检测等能力,并在盐城科创中心（辽阳路188号保利绿地广场K楼）成立智能装备事业部，主要以港口机械行业的优势，拓展和占领港口机械行业的市场。主要以“绿色、环保、节能、智能”为理念，从事港口起重设备的制造与维修、智能搬运机器人、港口无人自动化控制系统和精密制造技术、港口环保工程与设备等产品和工程的开发、生产及销售；化工专业技术领域内的技术开发，技术转让，技术服务，技术培训和咨询，化工原料及产品（危险化学品凭许可证经营）的销售。充分依托行业优势、技术优势和人才优势，为绿色港口、智能港口做出应有的贡献。</w:t>
      </w:r>
    </w:p>
    <w:p w:rsidR="00307514" w:rsidRDefault="00946218" w:rsidP="00775070">
      <w:pPr>
        <w:spacing w:beforeLines="50" w:afterLines="50" w:line="360" w:lineRule="auto"/>
        <w:ind w:firstLineChars="200" w:firstLine="480"/>
        <w:jc w:val="left"/>
        <w:rPr>
          <w:rFonts w:ascii="宋体" w:hAnsi="宋体" w:cs="宋体"/>
          <w:sz w:val="24"/>
        </w:rPr>
      </w:pPr>
      <w:r>
        <w:rPr>
          <w:rFonts w:ascii="宋体" w:hAnsi="宋体" w:cs="宋体" w:hint="eastAsia"/>
          <w:sz w:val="24"/>
        </w:rPr>
        <w:t>航天氢能聚焦军民两用市场，在民用领域，为商用车、专用车、乘用车、重型卡车、轨道机车、船舶等生产企业及系统集成商提供高品质、标准化燃料电池产品和定制化解决方案；在特殊领域，针对低特征、长续航特种装备需求提供燃料电池解决方案及产品，支撑重大工程型号任务发展。</w:t>
      </w:r>
    </w:p>
    <w:p w:rsidR="00307514" w:rsidRDefault="00307514" w:rsidP="00775070">
      <w:pPr>
        <w:spacing w:beforeLines="50" w:afterLines="50" w:line="360" w:lineRule="auto"/>
        <w:ind w:firstLineChars="200" w:firstLine="480"/>
        <w:jc w:val="left"/>
        <w:rPr>
          <w:rFonts w:ascii="宋体" w:hAnsi="宋体" w:cs="宋体"/>
          <w:sz w:val="24"/>
        </w:rPr>
      </w:pPr>
    </w:p>
    <w:p w:rsidR="00307514" w:rsidRDefault="00307514" w:rsidP="00775070">
      <w:pPr>
        <w:spacing w:beforeLines="50" w:afterLines="50" w:line="360" w:lineRule="auto"/>
        <w:ind w:firstLineChars="200" w:firstLine="480"/>
        <w:jc w:val="left"/>
        <w:rPr>
          <w:rFonts w:ascii="宋体" w:hAnsi="宋体" w:cs="宋体"/>
          <w:sz w:val="24"/>
        </w:rPr>
      </w:pPr>
    </w:p>
    <w:p w:rsidR="00307514" w:rsidRDefault="00307514" w:rsidP="00775070">
      <w:pPr>
        <w:spacing w:beforeLines="50" w:afterLines="50" w:line="360" w:lineRule="auto"/>
        <w:ind w:firstLineChars="200" w:firstLine="480"/>
        <w:jc w:val="left"/>
        <w:rPr>
          <w:rFonts w:ascii="宋体" w:hAnsi="宋体" w:cs="宋体"/>
          <w:sz w:val="24"/>
        </w:rPr>
      </w:pPr>
    </w:p>
    <w:p w:rsidR="00660B72" w:rsidRDefault="00660B72" w:rsidP="00775070">
      <w:pPr>
        <w:spacing w:beforeLines="50" w:afterLines="50" w:line="360" w:lineRule="auto"/>
        <w:jc w:val="left"/>
        <w:rPr>
          <w:rFonts w:ascii="宋体" w:hAnsi="宋体" w:cs="宋体"/>
          <w:sz w:val="24"/>
        </w:rPr>
      </w:pPr>
    </w:p>
    <w:p w:rsidR="00660B72" w:rsidRDefault="00660B72" w:rsidP="00775070">
      <w:pPr>
        <w:spacing w:beforeLines="50" w:afterLines="50" w:line="360" w:lineRule="auto"/>
        <w:rPr>
          <w:b/>
          <w:bCs/>
        </w:rPr>
      </w:pPr>
      <w:r>
        <w:rPr>
          <w:rFonts w:hint="eastAsia"/>
          <w:b/>
          <w:bCs/>
        </w:rPr>
        <w:lastRenderedPageBreak/>
        <w:t>实习生招聘要求：</w:t>
      </w:r>
    </w:p>
    <w:tbl>
      <w:tblPr>
        <w:tblStyle w:val="a7"/>
        <w:tblpPr w:leftFromText="180" w:rightFromText="180" w:vertAnchor="page" w:horzAnchor="margin" w:tblpXSpec="center" w:tblpY="1372"/>
        <w:tblW w:w="8500" w:type="dxa"/>
        <w:tblLook w:val="04A0"/>
      </w:tblPr>
      <w:tblGrid>
        <w:gridCol w:w="1120"/>
        <w:gridCol w:w="1624"/>
        <w:gridCol w:w="1192"/>
        <w:gridCol w:w="1556"/>
        <w:gridCol w:w="1119"/>
        <w:gridCol w:w="1889"/>
      </w:tblGrid>
      <w:tr w:rsidR="00660B72" w:rsidTr="00660B72">
        <w:trPr>
          <w:trHeight w:val="451"/>
        </w:trPr>
        <w:tc>
          <w:tcPr>
            <w:tcW w:w="1120" w:type="dxa"/>
            <w:vAlign w:val="center"/>
          </w:tcPr>
          <w:p w:rsidR="00660B72" w:rsidRDefault="00660B72" w:rsidP="00660B72">
            <w:pPr>
              <w:jc w:val="center"/>
              <w:rPr>
                <w:b/>
                <w:bCs/>
              </w:rPr>
            </w:pPr>
            <w:r>
              <w:rPr>
                <w:rFonts w:hint="eastAsia"/>
                <w:b/>
                <w:bCs/>
              </w:rPr>
              <w:t>岗位名称</w:t>
            </w:r>
          </w:p>
        </w:tc>
        <w:tc>
          <w:tcPr>
            <w:tcW w:w="1624" w:type="dxa"/>
            <w:vAlign w:val="center"/>
          </w:tcPr>
          <w:p w:rsidR="00660B72" w:rsidRDefault="00660B72" w:rsidP="00660B72">
            <w:pPr>
              <w:jc w:val="center"/>
            </w:pPr>
            <w:r>
              <w:rPr>
                <w:rFonts w:hint="eastAsia"/>
              </w:rPr>
              <w:t>电气实习生</w:t>
            </w:r>
          </w:p>
        </w:tc>
        <w:tc>
          <w:tcPr>
            <w:tcW w:w="1192" w:type="dxa"/>
            <w:vAlign w:val="center"/>
          </w:tcPr>
          <w:p w:rsidR="00660B72" w:rsidRDefault="00660B72" w:rsidP="00660B72">
            <w:pPr>
              <w:jc w:val="center"/>
              <w:rPr>
                <w:b/>
                <w:bCs/>
              </w:rPr>
            </w:pPr>
            <w:r>
              <w:rPr>
                <w:rFonts w:hint="eastAsia"/>
                <w:b/>
                <w:bCs/>
              </w:rPr>
              <w:t>所属部门</w:t>
            </w:r>
          </w:p>
        </w:tc>
        <w:tc>
          <w:tcPr>
            <w:tcW w:w="1556" w:type="dxa"/>
            <w:vAlign w:val="center"/>
          </w:tcPr>
          <w:p w:rsidR="00660B72" w:rsidRDefault="00660B72" w:rsidP="00660B72">
            <w:pPr>
              <w:jc w:val="center"/>
            </w:pPr>
            <w:r>
              <w:rPr>
                <w:rFonts w:hint="eastAsia"/>
              </w:rPr>
              <w:t>技术部</w:t>
            </w:r>
          </w:p>
        </w:tc>
        <w:tc>
          <w:tcPr>
            <w:tcW w:w="1119" w:type="dxa"/>
            <w:vAlign w:val="center"/>
          </w:tcPr>
          <w:p w:rsidR="00660B72" w:rsidRDefault="00660B72" w:rsidP="00660B72">
            <w:pPr>
              <w:jc w:val="center"/>
              <w:rPr>
                <w:b/>
                <w:bCs/>
              </w:rPr>
            </w:pPr>
            <w:r>
              <w:rPr>
                <w:rFonts w:hint="eastAsia"/>
                <w:b/>
                <w:bCs/>
              </w:rPr>
              <w:t>直属上级</w:t>
            </w:r>
          </w:p>
        </w:tc>
        <w:tc>
          <w:tcPr>
            <w:tcW w:w="1889" w:type="dxa"/>
            <w:vAlign w:val="center"/>
          </w:tcPr>
          <w:p w:rsidR="00660B72" w:rsidRDefault="00660B72" w:rsidP="00660B72">
            <w:pPr>
              <w:jc w:val="center"/>
            </w:pPr>
            <w:r>
              <w:rPr>
                <w:rFonts w:hint="eastAsia"/>
              </w:rPr>
              <w:t>项目主管</w:t>
            </w:r>
          </w:p>
        </w:tc>
      </w:tr>
      <w:tr w:rsidR="00660B72" w:rsidTr="00660B72">
        <w:trPr>
          <w:trHeight w:val="1984"/>
        </w:trPr>
        <w:tc>
          <w:tcPr>
            <w:tcW w:w="8500" w:type="dxa"/>
            <w:gridSpan w:val="6"/>
          </w:tcPr>
          <w:p w:rsidR="00660B72" w:rsidRDefault="00660B72" w:rsidP="00660B72">
            <w:pPr>
              <w:rPr>
                <w:rFonts w:ascii="微软雅黑" w:hAnsi="微软雅黑"/>
                <w:b/>
                <w:bCs/>
                <w:shd w:val="clear" w:color="auto" w:fill="FFFFFF"/>
              </w:rPr>
            </w:pPr>
            <w:r>
              <w:rPr>
                <w:rFonts w:ascii="微软雅黑" w:hAnsi="微软雅黑" w:hint="eastAsia"/>
                <w:b/>
                <w:bCs/>
                <w:shd w:val="clear" w:color="auto" w:fill="FFFFFF"/>
              </w:rPr>
              <w:t>岗位职责</w:t>
            </w:r>
            <w:r>
              <w:rPr>
                <w:rFonts w:ascii="微软雅黑" w:hAnsi="微软雅黑"/>
                <w:b/>
                <w:bCs/>
                <w:shd w:val="clear" w:color="auto" w:fill="FFFFFF"/>
              </w:rPr>
              <w:t>:</w:t>
            </w:r>
          </w:p>
          <w:p w:rsidR="00660B72" w:rsidRDefault="00660B72" w:rsidP="00660B72">
            <w:r>
              <w:rPr>
                <w:rFonts w:hint="eastAsia"/>
              </w:rPr>
              <w:t>1</w:t>
            </w:r>
            <w:r>
              <w:rPr>
                <w:rFonts w:hint="eastAsia"/>
              </w:rPr>
              <w:t>、根据项目的设计要求，协助完成相应的</w:t>
            </w:r>
            <w:r>
              <w:rPr>
                <w:rFonts w:hint="eastAsia"/>
              </w:rPr>
              <w:t>PLC</w:t>
            </w:r>
            <w:r>
              <w:rPr>
                <w:rFonts w:hint="eastAsia"/>
              </w:rPr>
              <w:t>、驱动器、程序设计工作；</w:t>
            </w:r>
          </w:p>
          <w:p w:rsidR="00660B72" w:rsidRDefault="00660B72" w:rsidP="00660B72">
            <w:r>
              <w:rPr>
                <w:rFonts w:hint="eastAsia"/>
              </w:rPr>
              <w:t>2</w:t>
            </w:r>
            <w:r>
              <w:rPr>
                <w:rFonts w:hint="eastAsia"/>
              </w:rPr>
              <w:t>、协助电气设备的现场电气系统调试工作，并完成系统交付工作；</w:t>
            </w:r>
          </w:p>
          <w:p w:rsidR="00660B72" w:rsidRDefault="00660B72" w:rsidP="00660B72">
            <w:pPr>
              <w:rPr>
                <w:rFonts w:ascii="微软雅黑" w:hAnsi="微软雅黑"/>
                <w:shd w:val="clear" w:color="auto" w:fill="FFFFFF"/>
              </w:rPr>
            </w:pPr>
            <w:r>
              <w:rPr>
                <w:rFonts w:hint="eastAsia"/>
              </w:rPr>
              <w:t>3</w:t>
            </w:r>
            <w:r>
              <w:rPr>
                <w:rFonts w:hint="eastAsia"/>
              </w:rPr>
              <w:t>、上级交办的其他工作。</w:t>
            </w:r>
          </w:p>
        </w:tc>
      </w:tr>
      <w:tr w:rsidR="00660B72" w:rsidTr="00660B72">
        <w:trPr>
          <w:trHeight w:val="1984"/>
        </w:trPr>
        <w:tc>
          <w:tcPr>
            <w:tcW w:w="8500" w:type="dxa"/>
            <w:gridSpan w:val="6"/>
          </w:tcPr>
          <w:p w:rsidR="00660B72" w:rsidRDefault="00660B72" w:rsidP="00660B72">
            <w:pPr>
              <w:rPr>
                <w:b/>
                <w:bCs/>
              </w:rPr>
            </w:pPr>
            <w:r>
              <w:rPr>
                <w:rFonts w:hint="eastAsia"/>
                <w:b/>
                <w:bCs/>
              </w:rPr>
              <w:t>任职资格</w:t>
            </w:r>
            <w:r>
              <w:rPr>
                <w:b/>
                <w:bCs/>
              </w:rPr>
              <w:t>:</w:t>
            </w:r>
          </w:p>
          <w:p w:rsidR="00660B72" w:rsidRDefault="00660B72" w:rsidP="00660B72">
            <w:r>
              <w:t>1</w:t>
            </w:r>
            <w:r>
              <w:t>、</w:t>
            </w:r>
            <w:r>
              <w:rPr>
                <w:rFonts w:hint="eastAsia"/>
              </w:rPr>
              <w:t>要求</w:t>
            </w:r>
            <w:r>
              <w:t>对电子元器件有一定的了解；</w:t>
            </w:r>
          </w:p>
          <w:p w:rsidR="00660B72" w:rsidRDefault="00660B72" w:rsidP="00660B72">
            <w:r>
              <w:rPr>
                <w:rFonts w:hint="eastAsia"/>
              </w:rPr>
              <w:t>2</w:t>
            </w:r>
            <w:r>
              <w:t>、熟练</w:t>
            </w:r>
            <w:r>
              <w:t xml:space="preserve"> Word, excel</w:t>
            </w:r>
            <w:r>
              <w:t>，操作各类办公软件；</w:t>
            </w:r>
          </w:p>
          <w:p w:rsidR="00660B72" w:rsidRDefault="00660B72" w:rsidP="00660B72">
            <w:r>
              <w:rPr>
                <w:rFonts w:hint="eastAsia"/>
              </w:rPr>
              <w:t>3</w:t>
            </w:r>
            <w:r>
              <w:t>、良好的沟通能力，工作认真、细致；</w:t>
            </w:r>
          </w:p>
          <w:p w:rsidR="00660B72" w:rsidRDefault="00660B72" w:rsidP="00660B72">
            <w:r>
              <w:rPr>
                <w:rFonts w:hint="eastAsia"/>
              </w:rPr>
              <w:t>4</w:t>
            </w:r>
            <w:r>
              <w:t>、工作认真仔细负责，勤奋刻苦，具有集体协作精神。</w:t>
            </w:r>
          </w:p>
        </w:tc>
      </w:tr>
      <w:tr w:rsidR="00660B72" w:rsidTr="00660B72">
        <w:trPr>
          <w:trHeight w:val="1089"/>
        </w:trPr>
        <w:tc>
          <w:tcPr>
            <w:tcW w:w="8500" w:type="dxa"/>
            <w:gridSpan w:val="6"/>
          </w:tcPr>
          <w:p w:rsidR="00660B72" w:rsidRDefault="00660B72" w:rsidP="00660B72">
            <w:r>
              <w:rPr>
                <w:rFonts w:hint="eastAsia"/>
                <w:b/>
                <w:bCs/>
              </w:rPr>
              <w:t>其它岗位要求：</w:t>
            </w:r>
            <w:r>
              <w:rPr>
                <w:rFonts w:hint="eastAsia"/>
              </w:rPr>
              <w:t>全职</w:t>
            </w:r>
          </w:p>
          <w:p w:rsidR="00660B72" w:rsidRDefault="00660B72" w:rsidP="00660B72">
            <w:r>
              <w:rPr>
                <w:rFonts w:hint="eastAsia"/>
                <w:b/>
                <w:bCs/>
              </w:rPr>
              <w:t>工作地点：</w:t>
            </w:r>
            <w:r>
              <w:rPr>
                <w:rFonts w:hint="eastAsia"/>
              </w:rPr>
              <w:t>上海</w:t>
            </w:r>
          </w:p>
        </w:tc>
      </w:tr>
      <w:tr w:rsidR="00660B72" w:rsidTr="00660B72">
        <w:trPr>
          <w:trHeight w:val="1984"/>
        </w:trPr>
        <w:tc>
          <w:tcPr>
            <w:tcW w:w="8500" w:type="dxa"/>
            <w:gridSpan w:val="6"/>
          </w:tcPr>
          <w:p w:rsidR="00660B72" w:rsidRDefault="00660B72" w:rsidP="00660B72">
            <w:pPr>
              <w:rPr>
                <w:b/>
                <w:bCs/>
              </w:rPr>
            </w:pPr>
            <w:r>
              <w:rPr>
                <w:rFonts w:hint="eastAsia"/>
                <w:b/>
                <w:bCs/>
              </w:rPr>
              <w:t>联系方式：</w:t>
            </w:r>
          </w:p>
          <w:p w:rsidR="00660B72" w:rsidRDefault="00660B72" w:rsidP="00660B72">
            <w:r>
              <w:rPr>
                <w:rFonts w:hint="eastAsia"/>
              </w:rPr>
              <w:t>公司地址</w:t>
            </w:r>
            <w:r>
              <w:t>：上海市</w:t>
            </w:r>
            <w:r>
              <w:rPr>
                <w:rFonts w:hint="eastAsia"/>
              </w:rPr>
              <w:t>杨浦区辽阳路</w:t>
            </w:r>
            <w:r>
              <w:rPr>
                <w:rFonts w:hint="eastAsia"/>
              </w:rPr>
              <w:t>188</w:t>
            </w:r>
            <w:r>
              <w:rPr>
                <w:rFonts w:hint="eastAsia"/>
              </w:rPr>
              <w:t>号保利广场</w:t>
            </w:r>
            <w:r>
              <w:rPr>
                <w:rFonts w:hint="eastAsia"/>
              </w:rPr>
              <w:t>K</w:t>
            </w:r>
            <w:r>
              <w:rPr>
                <w:rFonts w:hint="eastAsia"/>
              </w:rPr>
              <w:t>楼</w:t>
            </w:r>
            <w:r>
              <w:rPr>
                <w:rFonts w:hint="eastAsia"/>
              </w:rPr>
              <w:t>303</w:t>
            </w:r>
            <w:r>
              <w:rPr>
                <w:rFonts w:hint="eastAsia"/>
              </w:rPr>
              <w:t>室（公司总部：上海市闵行区紫月路</w:t>
            </w:r>
            <w:r>
              <w:rPr>
                <w:rFonts w:hint="eastAsia"/>
              </w:rPr>
              <w:t>880</w:t>
            </w:r>
            <w:r>
              <w:rPr>
                <w:rFonts w:hint="eastAsia"/>
              </w:rPr>
              <w:t>号）</w:t>
            </w:r>
          </w:p>
          <w:p w:rsidR="00660B72" w:rsidRDefault="00660B72" w:rsidP="00660B72">
            <w:r>
              <w:t>公司邮箱：</w:t>
            </w:r>
            <w:r w:rsidRPr="00660B72">
              <w:t>wanglan@shhtqn.com</w:t>
            </w:r>
          </w:p>
          <w:p w:rsidR="00660B72" w:rsidRDefault="00660B72" w:rsidP="00660B72">
            <w:pPr>
              <w:rPr>
                <w:b/>
                <w:bCs/>
              </w:rPr>
            </w:pPr>
            <w:r>
              <w:t>电话：</w:t>
            </w:r>
            <w:r>
              <w:t>+86‐</w:t>
            </w:r>
            <w:r>
              <w:rPr>
                <w:rFonts w:hint="eastAsia"/>
              </w:rPr>
              <w:t>18116172249</w:t>
            </w:r>
          </w:p>
        </w:tc>
      </w:tr>
    </w:tbl>
    <w:p w:rsidR="00660B72" w:rsidRPr="00660B72" w:rsidRDefault="00660B72" w:rsidP="005F349C">
      <w:pPr>
        <w:spacing w:beforeLines="50" w:afterLines="50" w:line="360" w:lineRule="auto"/>
        <w:rPr>
          <w:b/>
          <w:bCs/>
        </w:rPr>
      </w:pPr>
    </w:p>
    <w:sectPr w:rsidR="00660B72" w:rsidRPr="00660B72" w:rsidSect="005F349C">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49C" w:rsidRDefault="00D1449C" w:rsidP="00660B72">
      <w:r>
        <w:separator/>
      </w:r>
    </w:p>
  </w:endnote>
  <w:endnote w:type="continuationSeparator" w:id="1">
    <w:p w:rsidR="00D1449C" w:rsidRDefault="00D1449C" w:rsidP="00660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49C" w:rsidRDefault="00D1449C" w:rsidP="00660B72">
      <w:r>
        <w:separator/>
      </w:r>
    </w:p>
  </w:footnote>
  <w:footnote w:type="continuationSeparator" w:id="1">
    <w:p w:rsidR="00D1449C" w:rsidRDefault="00D1449C" w:rsidP="00660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D7AEB"/>
    <w:multiLevelType w:val="singleLevel"/>
    <w:tmpl w:val="40DD7AEB"/>
    <w:lvl w:ilvl="0">
      <w:start w:val="2"/>
      <w:numFmt w:val="decimal"/>
      <w:suff w:val="space"/>
      <w:lvlText w:val="%1."/>
      <w:lvlJc w:val="left"/>
      <w:pPr>
        <w:ind w:left="168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2AD2"/>
    <w:rsid w:val="AE9DC625"/>
    <w:rsid w:val="D7BF981C"/>
    <w:rsid w:val="FF1D4AA2"/>
    <w:rsid w:val="000171BF"/>
    <w:rsid w:val="002368FB"/>
    <w:rsid w:val="002E7158"/>
    <w:rsid w:val="00307514"/>
    <w:rsid w:val="004A4CD2"/>
    <w:rsid w:val="004E2CAB"/>
    <w:rsid w:val="005545A5"/>
    <w:rsid w:val="005D71DA"/>
    <w:rsid w:val="005F349C"/>
    <w:rsid w:val="00660B72"/>
    <w:rsid w:val="00775070"/>
    <w:rsid w:val="00900B62"/>
    <w:rsid w:val="0090256C"/>
    <w:rsid w:val="00946218"/>
    <w:rsid w:val="00A84D3A"/>
    <w:rsid w:val="00B25676"/>
    <w:rsid w:val="00B52AD2"/>
    <w:rsid w:val="00D02855"/>
    <w:rsid w:val="00D1449C"/>
    <w:rsid w:val="00DA5DF0"/>
    <w:rsid w:val="00DC74AF"/>
    <w:rsid w:val="00EC4159"/>
    <w:rsid w:val="00F425E6"/>
    <w:rsid w:val="00F51A1D"/>
    <w:rsid w:val="00FB67F5"/>
    <w:rsid w:val="13D96D5F"/>
    <w:rsid w:val="3C1C00CE"/>
    <w:rsid w:val="3FF66F49"/>
    <w:rsid w:val="488F799A"/>
    <w:rsid w:val="647D1A18"/>
    <w:rsid w:val="7EB5B0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F349C"/>
    <w:rPr>
      <w:sz w:val="18"/>
      <w:szCs w:val="18"/>
    </w:rPr>
  </w:style>
  <w:style w:type="paragraph" w:styleId="a4">
    <w:name w:val="footer"/>
    <w:basedOn w:val="a"/>
    <w:link w:val="Char0"/>
    <w:uiPriority w:val="99"/>
    <w:unhideWhenUsed/>
    <w:qFormat/>
    <w:rsid w:val="005F349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F349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rsid w:val="005F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6">
    <w:name w:val="Normal (Web)"/>
    <w:basedOn w:val="a"/>
    <w:uiPriority w:val="99"/>
    <w:unhideWhenUsed/>
    <w:qFormat/>
    <w:rsid w:val="005F349C"/>
    <w:pPr>
      <w:widowControl/>
      <w:spacing w:before="100" w:beforeAutospacing="1" w:after="100" w:afterAutospacing="1"/>
      <w:jc w:val="left"/>
    </w:pPr>
    <w:rPr>
      <w:rFonts w:ascii="宋体" w:hAnsi="宋体" w:cs="宋体"/>
      <w:kern w:val="0"/>
      <w:sz w:val="24"/>
    </w:rPr>
  </w:style>
  <w:style w:type="table" w:styleId="a7">
    <w:name w:val="Table Grid"/>
    <w:basedOn w:val="a1"/>
    <w:uiPriority w:val="39"/>
    <w:qFormat/>
    <w:rsid w:val="005F34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qFormat/>
    <w:rsid w:val="005F349C"/>
    <w:rPr>
      <w:color w:val="0000FF"/>
      <w:u w:val="single"/>
    </w:rPr>
  </w:style>
  <w:style w:type="character" w:customStyle="1" w:styleId="Char">
    <w:name w:val="批注框文本 Char"/>
    <w:basedOn w:val="a0"/>
    <w:link w:val="a3"/>
    <w:uiPriority w:val="99"/>
    <w:semiHidden/>
    <w:qFormat/>
    <w:rsid w:val="005F349C"/>
    <w:rPr>
      <w:rFonts w:ascii="Times New Roman" w:eastAsia="宋体" w:hAnsi="Times New Roman" w:cs="Times New Roman"/>
      <w:sz w:val="18"/>
      <w:szCs w:val="18"/>
    </w:rPr>
  </w:style>
  <w:style w:type="paragraph" w:customStyle="1" w:styleId="1">
    <w:name w:val="列出段落1"/>
    <w:basedOn w:val="a"/>
    <w:uiPriority w:val="34"/>
    <w:qFormat/>
    <w:rsid w:val="005F349C"/>
    <w:pPr>
      <w:widowControl/>
      <w:ind w:firstLineChars="200" w:firstLine="420"/>
      <w:jc w:val="left"/>
    </w:pPr>
    <w:rPr>
      <w:rFonts w:ascii="宋体" w:hAnsi="宋体" w:cs="宋体"/>
      <w:kern w:val="0"/>
      <w:sz w:val="24"/>
    </w:rPr>
  </w:style>
  <w:style w:type="character" w:customStyle="1" w:styleId="Char1">
    <w:name w:val="页眉 Char"/>
    <w:basedOn w:val="a0"/>
    <w:link w:val="a5"/>
    <w:uiPriority w:val="99"/>
    <w:qFormat/>
    <w:rsid w:val="005F349C"/>
    <w:rPr>
      <w:rFonts w:ascii="Times New Roman" w:eastAsia="宋体" w:hAnsi="Times New Roman" w:cs="Times New Roman"/>
      <w:sz w:val="18"/>
      <w:szCs w:val="18"/>
    </w:rPr>
  </w:style>
  <w:style w:type="character" w:customStyle="1" w:styleId="Char0">
    <w:name w:val="页脚 Char"/>
    <w:basedOn w:val="a0"/>
    <w:link w:val="a4"/>
    <w:uiPriority w:val="99"/>
    <w:qFormat/>
    <w:rsid w:val="005F349C"/>
    <w:rPr>
      <w:rFonts w:ascii="Times New Roman" w:eastAsia="宋体" w:hAnsi="Times New Roman" w:cs="Times New Roman"/>
      <w:sz w:val="18"/>
      <w:szCs w:val="18"/>
    </w:rPr>
  </w:style>
  <w:style w:type="paragraph" w:customStyle="1" w:styleId="Default">
    <w:name w:val="Default"/>
    <w:qFormat/>
    <w:rsid w:val="005F349C"/>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1132</Characters>
  <Application>Microsoft Office Word</Application>
  <DocSecurity>0</DocSecurity>
  <Lines>9</Lines>
  <Paragraphs>2</Paragraphs>
  <ScaleCrop>false</ScaleCrop>
  <Company>Microsoft</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zhangwei</dc:creator>
  <cp:lastModifiedBy>Windows 用户</cp:lastModifiedBy>
  <cp:revision>2</cp:revision>
  <dcterms:created xsi:type="dcterms:W3CDTF">2021-06-17T06:29:00Z</dcterms:created>
  <dcterms:modified xsi:type="dcterms:W3CDTF">2021-06-17T06:29:00Z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